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70c23836f2c436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3E00AC13" w:rsidP="27B63458" w:rsidRDefault="3E00AC13" w14:paraId="54394A52" w14:textId="72D6AA81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7B63458" w:rsidR="3E00AC13">
        <w:rPr>
          <w:b w:val="1"/>
          <w:bCs w:val="1"/>
          <w:color w:val="2E75B5"/>
          <w:sz w:val="28"/>
          <w:szCs w:val="28"/>
        </w:rPr>
        <w:t xml:space="preserve">Prijedlog godišnjeg izvedbenog kurikuluma za Grčki jezik u 3. razredu srednje škole za školsku godinu 2020./2021. </w:t>
      </w:r>
    </w:p>
    <w:p w:rsidR="3E00AC13" w:rsidP="27B63458" w:rsidRDefault="3E00AC13" w14:paraId="439F07E6" w14:textId="542BE6E5">
      <w:pPr>
        <w:pStyle w:val="Normal"/>
        <w:spacing w:line="240" w:lineRule="auto"/>
      </w:pPr>
      <w:r w:rsidRPr="27B63458" w:rsidR="3E00AC13">
        <w:rPr>
          <w:b w:val="1"/>
          <w:bCs w:val="1"/>
          <w:color w:val="2E75B5"/>
          <w:sz w:val="28"/>
          <w:szCs w:val="28"/>
        </w:rPr>
        <w:t xml:space="preserve"> </w:t>
      </w:r>
      <w:r w:rsidRPr="27B63458" w:rsidR="3E00AC13">
        <w:rPr>
          <w:b w:val="1"/>
          <w:bCs w:val="1"/>
          <w:color w:val="2E75B5"/>
          <w:sz w:val="28"/>
          <w:szCs w:val="28"/>
        </w:rPr>
        <w:t>(nastavljači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Zbog frontalnog uvođenja Škole za život u 2. i 3. razrede srednjih škola dolazi do određenog nepodudaranja sadržaja predviđenog starim planom i programom i novim kurikulumom.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  <w:t xml:space="preserve">Stoga je u ovom kurikulumu prvo polugodište 3. razreda posvećeno čitanju Demostena i grčke lirike, a drugo polugodište nudi izbor iz djela autora predviđenih novim kurikulumom za treći razred. Shodno tome i neki su ishodi preuzeti iz kurikuluma za 2. razred.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68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845"/>
        <w:gridCol w:w="2790"/>
        <w:gridCol w:w="2850"/>
        <w:gridCol w:w="2970"/>
        <w:gridCol w:w="3225"/>
      </w:tblGrid>
      <w:tr xmlns:wp14="http://schemas.microsoft.com/office/word/2010/wordml" w:rsidTr="1DD6B8A4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2BB69A6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A" wp14:textId="0EFD560D">
            <w:pPr>
              <w:spacing w:after="0" w:line="240" w:lineRule="auto"/>
              <w:jc w:val="center"/>
            </w:pPr>
            <w:r w:rsidR="1DD6B8A4">
              <w:rPr/>
              <w:t>kriteriji i elementi vrednovanja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biuaar8iy11b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bookmarkStart w:name="_heading=h.prp1hyp52w2f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317D03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2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1DD6B8A4" w14:paraId="4C95C6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SŠ (1) GJ C.2.1.</w:t>
            </w:r>
          </w:p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Nabraja, smješta i povezuje pojmove vezane uz grčku povijest.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C.2.2.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3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Demosten,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prethodno usvojenih jezičnih sadržaja</w:t>
            </w:r>
          </w:p>
        </w:tc>
      </w:tr>
      <w:tr xmlns:wp14="http://schemas.microsoft.com/office/word/2010/wordml" w:rsidTr="1DD6B8A4" w14:paraId="27941F5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(1) GJ C.2.1.</w:t>
            </w:r>
          </w:p>
          <w:p w:rsidRPr="00000000" w:rsidR="00000000" w:rsidDel="00000000" w:rsidP="00000000" w:rsidRDefault="00000000" w14:paraId="0000003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pojmove vezane uz grčku povijest.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C.2.2.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48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</w:tc>
      </w:tr>
      <w:tr xmlns:wp14="http://schemas.microsoft.com/office/word/2010/wordml" w:rsidTr="1DD6B8A4" w14:paraId="1596774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(1) GJ C.2.1.</w:t>
            </w:r>
          </w:p>
          <w:p w:rsidRPr="00000000" w:rsidR="00000000" w:rsidDel="00000000" w:rsidP="00000000" w:rsidRDefault="00000000" w14:paraId="0000004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pojmove vezane uz grčku povijest.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C.2.2.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5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</w:tc>
      </w:tr>
      <w:tr xmlns:wp14="http://schemas.microsoft.com/office/word/2010/wordml" w:rsidTr="1DD6B8A4" w14:paraId="5990F0D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(1) GJ C.2.1.</w:t>
            </w:r>
          </w:p>
          <w:p w:rsidRPr="00000000" w:rsidR="00000000" w:rsidDel="00000000" w:rsidP="00000000" w:rsidRDefault="00000000" w14:paraId="000000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pojmove vezane uz grčku povijest.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C.2.2.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6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</w:tc>
      </w:tr>
      <w:tr xmlns:wp14="http://schemas.microsoft.com/office/word/2010/wordml" w:rsidTr="1DD6B8A4" w14:paraId="780E010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7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- uvod</w:t>
            </w:r>
          </w:p>
        </w:tc>
      </w:tr>
      <w:tr xmlns:wp14="http://schemas.microsoft.com/office/word/2010/wordml" w:rsidTr="1DD6B8A4" w14:paraId="1C79BF0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8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odabrani autor(i)</w:t>
            </w:r>
          </w:p>
        </w:tc>
      </w:tr>
      <w:tr xmlns:wp14="http://schemas.microsoft.com/office/word/2010/wordml" w:rsidTr="1DD6B8A4" w14:paraId="723C6E7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9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odabrani autor(i)</w:t>
            </w:r>
          </w:p>
        </w:tc>
      </w:tr>
      <w:tr xmlns:wp14="http://schemas.microsoft.com/office/word/2010/wordml" w:rsidTr="1DD6B8A4" w14:paraId="5725B62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A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Dionizov kult i počeci tragedije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Grčko kazalište, izgled, uloga, značaj i svetkovine</w:t>
            </w:r>
          </w:p>
        </w:tc>
      </w:tr>
      <w:tr xmlns:wp14="http://schemas.microsoft.com/office/word/2010/wordml" w:rsidTr="1DD6B8A4" w14:paraId="6587D9A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C.3.3.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B.2.2.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Izdvaja, opisuje i ujedinjuje osnovne značajke retorike i lirske poezije.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</w:t>
            </w:r>
          </w:p>
          <w:p w:rsidRPr="00000000" w:rsidR="00000000" w:rsidDel="00000000" w:rsidP="00000000" w:rsidRDefault="00000000" w14:paraId="000000B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Tragedija i tragediografi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56AD25F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Tragedija i tragediografi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72A5EA9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1DD6B8A4" w14:paraId="5FDD5CA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1DD6B8A4" w14:paraId="4982700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1DD6B8A4" w14:paraId="6D530FE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1DD6B8A4" w14:paraId="60A9529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1DD6B8A4" w14:paraId="2135CE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1DD6B8A4" w14:paraId="43A5CA3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1DD6B8A4" w14:paraId="2D4D7BF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1DD6B8A4" w14:paraId="6417954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DD6B8A4" w14:paraId="44252D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DD6B8A4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D6B8A4" w14:paraId="411F433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DD6B8A4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DD6B8A4" w14:paraId="38E133C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filozofija – rađanje slobodne misli</w:t>
            </w:r>
          </w:p>
        </w:tc>
      </w:tr>
      <w:tr xmlns:wp14="http://schemas.microsoft.com/office/word/2010/wordml" w:rsidTr="1DD6B8A4" w14:paraId="0AC6F9D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Predsokratovci – izbor iz djela</w:t>
            </w:r>
          </w:p>
        </w:tc>
      </w:tr>
      <w:tr xmlns:wp14="http://schemas.microsoft.com/office/word/2010/wordml" w:rsidTr="1DD6B8A4" w14:paraId="04BC15A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Predsokratovci – izbor iz djela</w:t>
            </w:r>
          </w:p>
        </w:tc>
      </w:tr>
      <w:tr xmlns:wp14="http://schemas.microsoft.com/office/word/2010/wordml" w:rsidTr="1DD6B8A4" w14:paraId="1DE3E8B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1DD6B8A4" w14:paraId="575DB1B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1DD6B8A4" w14:paraId="1CF5C00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1DD6B8A4" w14:paraId="544470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DD6B8A4" w14:paraId="66B7FDE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</w:t>
            </w:r>
          </w:p>
        </w:tc>
      </w:tr>
      <w:tr xmlns:wp14="http://schemas.microsoft.com/office/word/2010/wordml" w:rsidTr="1DD6B8A4" w14:paraId="6EC09A0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</w:t>
            </w:r>
          </w:p>
        </w:tc>
      </w:tr>
      <w:tr xmlns:wp14="http://schemas.microsoft.com/office/word/2010/wordml" w:rsidTr="1DD6B8A4" w14:paraId="5D4D878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1DD6B8A4" w14:paraId="4AE52FE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B.3.1.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B.3.2.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B.3.3.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A.3.1.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1DD6B8A4" w14:paraId="66587E6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C.3.1.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C.3.2.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C.3.3.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1DD6B8A4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3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D" wp14:textId="77777777">
      <w:pPr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7D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7E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5EFBCC"/>
  <w15:docId w15:val="{5b2e9181-7979-46ef-a962-98e1a190ea51}"/>
  <w:rsids>
    <w:rsidRoot w:val="1DD6B8A4"/>
    <w:rsid w:val="00000000"/>
    <w:rsid w:val="126EC6AE"/>
    <w:rsid w:val="1DD6B8A4"/>
    <w:rsid w:val="27B63458"/>
    <w:rsid w:val="3E00AC1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6F0837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955C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YBJ4ltp628rL8PVuFsEqxquAw==">AMUW2mXHsM7RymNha9j7LmlE0+ftQ+X0vu17m5wnjBj7FWGn/GfOCBBLnWIA4R3yrm4B6LPdAiO6J6J10C8dQher6QQbr2JjP59cQmXeMcjdAkk1cK5eFqiTGBhFTPRzK/fc5NJVrvNQDtQu9SNoLGARqydCkMvReb3cMLHQdGLch2wd0QAqG7w=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AC5F542-3616-46BA-BB31-A777D940648C}"/>
</file>

<file path=customXML/itemProps3.xml><?xml version="1.0" encoding="utf-8"?>
<ds:datastoreItem xmlns:ds="http://schemas.openxmlformats.org/officeDocument/2006/customXml" ds:itemID="{789E91DC-6F64-4131-8B5F-05CFB98CCC2C}"/>
</file>

<file path=customXML/itemProps4.xml><?xml version="1.0" encoding="utf-8"?>
<ds:datastoreItem xmlns:ds="http://schemas.openxmlformats.org/officeDocument/2006/customXml" ds:itemID="{DB9E417F-58BA-4F43-B1C6-6E5D99AC8E3F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2020-08-30T17:54:00Z</dcterms:created>
  <dcterms:modified xsi:type="dcterms:W3CDTF">2020-09-30T10:54:55Z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